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14:textFill>
            <w14:solidFill>
              <w14:schemeClr w14:val="tx1"/>
            </w14:solidFill>
          </w14:textFill>
        </w:rPr>
        <w:t>单位住房公积金账户设立一次告知书</w:t>
      </w:r>
    </w:p>
    <w:bookmarkEnd w:id="0"/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一、申请范围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：本市行政区域内的国家机关,国有企业、城镇集体企业、外商投资企业、城镇私营企业及其他城镇企业、事业单位、民办非企业单位、社会团体、及其他应当缴存住房公积金的单位和个人应当自设立之日起30日内办理单位住房公积金账户的设立手续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二、办理要件：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 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 （一）企业单位办理单位缴存登记承诺制申请或出示电子营业执照申请。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28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（二）机关和事业单位需提供: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1.单位介绍信；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2.《事业单位法人证书》（副本）或《统一社会信用代码证》或单位设立批准文件等单位设立证明原件或复印件（加盖公章）；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3.单位法定代表人或负责人的身份证原件或复印件(加盖公章）；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0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4.单位经办人员的身份证原件。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三、办理渠道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：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（一）黑河市住房公积金管理中心各分中心窗口办理。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（二）黑龙江省政务服务网。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（三）企业开户时可通过市场监管办理营业执照时，“一窗受理”“一网通办”。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562"/>
        <w:jc w:val="both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四、办理时限：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kern w:val="0"/>
          <w:sz w:val="32"/>
          <w:szCs w:val="32"/>
          <w:bdr w:val="none" w:color="auto" w:sz="0" w:space="0"/>
          <w:shd w:val="clear" w:fill="FFFFFF"/>
          <w:vertAlign w:val="baseline"/>
          <w:lang w:val="en-US" w:eastAsia="zh-CN" w:bidi="ar"/>
          <w14:textFill>
            <w14:solidFill>
              <w14:schemeClr w14:val="tx1"/>
            </w14:solidFill>
          </w14:textFill>
        </w:rPr>
        <w:t>材料齐全的，即时办结。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BjMWQxOTc5ZGIxODNjZGJhOWQ0NmM4ZDMyMDU2ZWQifQ=="/>
  </w:docVars>
  <w:rsids>
    <w:rsidRoot w:val="00000000"/>
    <w:rsid w:val="07610A1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张海峰</cp:lastModifiedBy>
  <dcterms:modified xsi:type="dcterms:W3CDTF">2022-10-28T03:13:58Z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6AF6A4EC33B14EBBAA925FB198E304E2</vt:lpwstr>
  </property>
</Properties>
</file>